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E" w:rsidRDefault="00984B3E" w:rsidP="00984B3E">
      <w:pPr>
        <w:autoSpaceDE w:val="0"/>
        <w:spacing w:line="360" w:lineRule="auto"/>
        <w:rPr>
          <w:b/>
          <w:bCs/>
          <w:color w:val="FF0000"/>
        </w:rPr>
      </w:pPr>
      <w:r w:rsidRPr="00744149">
        <w:rPr>
          <w:b/>
          <w:bCs/>
          <w:color w:val="FF0000"/>
        </w:rPr>
        <w:t>HO</w:t>
      </w:r>
      <w:r w:rsidR="00165F78">
        <w:rPr>
          <w:b/>
          <w:bCs/>
          <w:color w:val="FF0000"/>
        </w:rPr>
        <w:t>DNOTENIE A KLASIFIKÁCIA PREDMETOV PK EVN</w:t>
      </w:r>
      <w:bookmarkStart w:id="0" w:name="_GoBack"/>
      <w:bookmarkEnd w:id="0"/>
      <w:r w:rsidRPr="00744149">
        <w:rPr>
          <w:b/>
          <w:bCs/>
          <w:color w:val="FF0000"/>
        </w:rPr>
        <w:t xml:space="preserve"> NA EGJT </w:t>
      </w:r>
    </w:p>
    <w:p w:rsidR="00984B3E" w:rsidRPr="00744149" w:rsidRDefault="00984B3E" w:rsidP="00984B3E">
      <w:pPr>
        <w:autoSpaceDE w:val="0"/>
        <w:spacing w:line="360" w:lineRule="auto"/>
        <w:rPr>
          <w:b/>
          <w:bCs/>
          <w:color w:val="FF0000"/>
        </w:rPr>
      </w:pPr>
    </w:p>
    <w:p w:rsidR="00984B3E" w:rsidRPr="00744149" w:rsidRDefault="00984B3E" w:rsidP="00984B3E">
      <w:pPr>
        <w:numPr>
          <w:ilvl w:val="0"/>
          <w:numId w:val="4"/>
        </w:numPr>
        <w:suppressAutoHyphens/>
        <w:autoSpaceDE w:val="0"/>
        <w:spacing w:line="360" w:lineRule="auto"/>
        <w:rPr>
          <w:b/>
          <w:bCs/>
          <w:i/>
          <w:color w:val="002060"/>
          <w:highlight w:val="cyan"/>
        </w:rPr>
      </w:pPr>
      <w:r w:rsidRPr="00744149">
        <w:rPr>
          <w:b/>
          <w:bCs/>
          <w:i/>
          <w:color w:val="002060"/>
          <w:highlight w:val="cyan"/>
        </w:rPr>
        <w:t>PRIMA- KVARTA</w:t>
      </w:r>
      <w:r>
        <w:rPr>
          <w:b/>
          <w:bCs/>
          <w:i/>
          <w:color w:val="002060"/>
          <w:highlight w:val="cyan"/>
        </w:rPr>
        <w:t xml:space="preserve"> (slovenská časť)</w:t>
      </w:r>
    </w:p>
    <w:p w:rsidR="00984B3E" w:rsidRPr="00744149" w:rsidRDefault="00984B3E" w:rsidP="00984B3E">
      <w:pPr>
        <w:numPr>
          <w:ilvl w:val="0"/>
          <w:numId w:val="2"/>
        </w:numPr>
        <w:suppressAutoHyphens/>
        <w:autoSpaceDE w:val="0"/>
        <w:spacing w:line="360" w:lineRule="auto"/>
        <w:rPr>
          <w:b/>
          <w:bCs/>
        </w:rPr>
      </w:pPr>
      <w:r>
        <w:rPr>
          <w:b/>
          <w:bCs/>
        </w:rPr>
        <w:t>Povinné hodnotenie</w:t>
      </w:r>
      <w:r w:rsidRPr="00744149">
        <w:rPr>
          <w:b/>
          <w:bCs/>
        </w:rPr>
        <w:t>: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 xml:space="preserve">Ohlásené testy z tematických celkov – </w:t>
      </w:r>
      <w:r>
        <w:rPr>
          <w:bCs/>
        </w:rPr>
        <w:t>40%</w:t>
      </w:r>
      <w:r w:rsidRPr="00744149">
        <w:rPr>
          <w:bCs/>
        </w:rPr>
        <w:t xml:space="preserve"> 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>pri</w:t>
      </w:r>
      <w:r>
        <w:rPr>
          <w:bCs/>
        </w:rPr>
        <w:t>ebežné, neohlásené previerky – 2</w:t>
      </w:r>
      <w:r w:rsidRPr="00744149">
        <w:rPr>
          <w:bCs/>
        </w:rPr>
        <w:t xml:space="preserve">0 </w:t>
      </w:r>
      <w:r>
        <w:rPr>
          <w:bCs/>
        </w:rPr>
        <w:t>%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>Ústna odpoveď – 2</w:t>
      </w:r>
      <w:r w:rsidRPr="00744149">
        <w:rPr>
          <w:bCs/>
        </w:rPr>
        <w:t>0</w:t>
      </w:r>
      <w:r>
        <w:rPr>
          <w:bCs/>
        </w:rPr>
        <w:t>%</w:t>
      </w:r>
    </w:p>
    <w:p w:rsidR="00984B3E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  <w:i/>
        </w:rPr>
      </w:pPr>
      <w:r w:rsidRPr="00744149">
        <w:rPr>
          <w:bCs/>
        </w:rPr>
        <w:t xml:space="preserve">aktivita na hodine a plnenie domácich úloh – </w:t>
      </w:r>
      <w:r>
        <w:rPr>
          <w:bCs/>
        </w:rPr>
        <w:t xml:space="preserve">20% </w:t>
      </w:r>
      <w:r w:rsidRPr="00744149">
        <w:rPr>
          <w:bCs/>
          <w:i/>
        </w:rPr>
        <w:t>(pozornosť na hodine, systematická príprava na hodinu na dané témy, zapájanie sa do diskusie, plnenie domácich a zadaných úloh na vyučovacej hodine)</w:t>
      </w:r>
    </w:p>
    <w:p w:rsidR="00984B3E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  <w:i/>
        </w:rPr>
      </w:pPr>
      <w:r>
        <w:rPr>
          <w:b/>
          <w:bCs/>
        </w:rPr>
        <w:t xml:space="preserve">SEKUNDA a KVARTA </w:t>
      </w:r>
      <w:r w:rsidRPr="009B323E">
        <w:rPr>
          <w:bCs/>
        </w:rPr>
        <w:t>– na CLIL hodinách je</w:t>
      </w:r>
      <w:r>
        <w:rPr>
          <w:bCs/>
        </w:rPr>
        <w:t xml:space="preserve"> hodnotený </w:t>
      </w:r>
      <w:r w:rsidRPr="009B323E">
        <w:rPr>
          <w:bCs/>
        </w:rPr>
        <w:t xml:space="preserve">aj </w:t>
      </w:r>
      <w:r>
        <w:rPr>
          <w:bCs/>
        </w:rPr>
        <w:t xml:space="preserve">jazyk – </w:t>
      </w:r>
      <w:r w:rsidRPr="009B323E">
        <w:rPr>
          <w:bCs/>
        </w:rPr>
        <w:t>angličtina</w:t>
      </w:r>
      <w:r>
        <w:rPr>
          <w:bCs/>
        </w:rPr>
        <w:t xml:space="preserve">. V týchto triedach je hodnotená ústna odpoveď – 10% a jazyk 10% </w:t>
      </w:r>
    </w:p>
    <w:p w:rsidR="00984B3E" w:rsidRPr="00744149" w:rsidRDefault="00984B3E" w:rsidP="00984B3E">
      <w:pPr>
        <w:numPr>
          <w:ilvl w:val="0"/>
          <w:numId w:val="2"/>
        </w:numPr>
        <w:suppressAutoHyphens/>
        <w:autoSpaceDE w:val="0"/>
        <w:spacing w:line="360" w:lineRule="auto"/>
        <w:rPr>
          <w:b/>
          <w:bCs/>
        </w:rPr>
      </w:pPr>
      <w:r w:rsidRPr="00744149">
        <w:rPr>
          <w:b/>
          <w:bCs/>
        </w:rPr>
        <w:t xml:space="preserve">Nepovinné </w:t>
      </w:r>
      <w:r>
        <w:rPr>
          <w:b/>
          <w:bCs/>
        </w:rPr>
        <w:t>hodnotenie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  <w:i/>
        </w:rPr>
      </w:pPr>
      <w:r>
        <w:rPr>
          <w:bCs/>
        </w:rPr>
        <w:t>referát – 2%</w:t>
      </w:r>
      <w:r w:rsidRPr="00744149">
        <w:rPr>
          <w:bCs/>
        </w:rPr>
        <w:t xml:space="preserve"> </w:t>
      </w:r>
      <w:r w:rsidRPr="00744149">
        <w:rPr>
          <w:bCs/>
          <w:i/>
        </w:rPr>
        <w:t>(na A4 vypracovaná a prezentovaná daná téma)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  <w:i/>
        </w:rPr>
      </w:pPr>
      <w:r>
        <w:rPr>
          <w:bCs/>
        </w:rPr>
        <w:t>projekt – 3%</w:t>
      </w:r>
      <w:r w:rsidRPr="00744149">
        <w:rPr>
          <w:bCs/>
        </w:rPr>
        <w:t xml:space="preserve"> </w:t>
      </w:r>
      <w:r w:rsidRPr="00744149">
        <w:rPr>
          <w:bCs/>
          <w:i/>
        </w:rPr>
        <w:t>(dotazník, obrázkový materiál v krátkosti opísaný a prezentovaný)</w:t>
      </w:r>
    </w:p>
    <w:p w:rsidR="00984B3E" w:rsidRPr="00744149" w:rsidRDefault="00984B3E" w:rsidP="00984B3E">
      <w:pPr>
        <w:numPr>
          <w:ilvl w:val="1"/>
          <w:numId w:val="2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 xml:space="preserve">úspešní riešitelia </w:t>
      </w:r>
      <w:r>
        <w:rPr>
          <w:bCs/>
        </w:rPr>
        <w:t xml:space="preserve">a umiestnenie 1. – 3. miesto </w:t>
      </w:r>
      <w:r w:rsidRPr="00744149">
        <w:rPr>
          <w:bCs/>
        </w:rPr>
        <w:t>na biblickej olympiáde:</w:t>
      </w:r>
    </w:p>
    <w:p w:rsidR="00984B3E" w:rsidRPr="00744149" w:rsidRDefault="00984B3E" w:rsidP="00984B3E">
      <w:pPr>
        <w:numPr>
          <w:ilvl w:val="2"/>
          <w:numId w:val="2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 xml:space="preserve">úspešní riešitelia seniorálne kolo – 1% a výherca 3% </w:t>
      </w:r>
    </w:p>
    <w:p w:rsidR="00984B3E" w:rsidRDefault="00984B3E" w:rsidP="00984B3E">
      <w:pPr>
        <w:numPr>
          <w:ilvl w:val="2"/>
          <w:numId w:val="2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 xml:space="preserve">úspešní riešitelia celoslovenské kolo – 2% a výhercovia 4% </w:t>
      </w:r>
    </w:p>
    <w:p w:rsidR="00984B3E" w:rsidRPr="00744149" w:rsidRDefault="00984B3E" w:rsidP="00984B3E">
      <w:pPr>
        <w:numPr>
          <w:ilvl w:val="0"/>
          <w:numId w:val="5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>hodnotíme vždy len najvyšší úspech súťažiaceho</w:t>
      </w:r>
    </w:p>
    <w:p w:rsidR="00984B3E" w:rsidRPr="00744149" w:rsidRDefault="00984B3E" w:rsidP="00984B3E">
      <w:pPr>
        <w:autoSpaceDE w:val="0"/>
        <w:spacing w:line="360" w:lineRule="auto"/>
        <w:rPr>
          <w:b/>
          <w:bCs/>
        </w:rPr>
      </w:pPr>
    </w:p>
    <w:p w:rsidR="00984B3E" w:rsidRPr="00744149" w:rsidRDefault="00984B3E" w:rsidP="00984B3E">
      <w:pPr>
        <w:numPr>
          <w:ilvl w:val="0"/>
          <w:numId w:val="4"/>
        </w:numPr>
        <w:suppressAutoHyphens/>
        <w:autoSpaceDE w:val="0"/>
        <w:spacing w:line="360" w:lineRule="auto"/>
        <w:rPr>
          <w:b/>
          <w:bCs/>
          <w:i/>
          <w:color w:val="002060"/>
          <w:highlight w:val="cyan"/>
        </w:rPr>
      </w:pPr>
      <w:r>
        <w:rPr>
          <w:b/>
          <w:bCs/>
          <w:i/>
          <w:color w:val="002060"/>
          <w:highlight w:val="cyan"/>
        </w:rPr>
        <w:t>KVARTA</w:t>
      </w:r>
      <w:r w:rsidRPr="00744149">
        <w:rPr>
          <w:b/>
          <w:bCs/>
          <w:i/>
          <w:color w:val="002060"/>
          <w:highlight w:val="cyan"/>
        </w:rPr>
        <w:t xml:space="preserve"> – OKTÁVA, 1. – 5. ročník</w:t>
      </w:r>
    </w:p>
    <w:p w:rsidR="00984B3E" w:rsidRPr="00744149" w:rsidRDefault="00984B3E" w:rsidP="00984B3E">
      <w:pPr>
        <w:numPr>
          <w:ilvl w:val="0"/>
          <w:numId w:val="3"/>
        </w:numPr>
        <w:suppressAutoHyphens/>
        <w:autoSpaceDE w:val="0"/>
        <w:spacing w:line="360" w:lineRule="auto"/>
        <w:rPr>
          <w:b/>
          <w:bCs/>
        </w:rPr>
      </w:pPr>
      <w:r w:rsidRPr="00744149">
        <w:rPr>
          <w:b/>
          <w:bCs/>
        </w:rPr>
        <w:t xml:space="preserve">Slovenská časť: 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>Ohlásen</w:t>
      </w:r>
      <w:r>
        <w:rPr>
          <w:bCs/>
        </w:rPr>
        <w:t>é testy z tematických celkov – 40%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>priebežné, neohlás</w:t>
      </w:r>
      <w:r>
        <w:rPr>
          <w:bCs/>
        </w:rPr>
        <w:t>ené previerky – 10%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>Ústna odpoveď – 10</w:t>
      </w:r>
      <w:r>
        <w:rPr>
          <w:bCs/>
        </w:rPr>
        <w:t>%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>Prezentácie - 15%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>
        <w:rPr>
          <w:bCs/>
        </w:rPr>
        <w:t>Eseje na dané témy – 10%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</w:rPr>
        <w:t xml:space="preserve">Aktivita na hodine a plnenie domácich úloh – 15 </w:t>
      </w:r>
      <w:r>
        <w:rPr>
          <w:bCs/>
        </w:rPr>
        <w:t>%</w:t>
      </w:r>
      <w:r w:rsidRPr="00744149">
        <w:rPr>
          <w:bCs/>
        </w:rPr>
        <w:t>- hodnotené kladne aj záporne</w:t>
      </w:r>
    </w:p>
    <w:p w:rsidR="00984B3E" w:rsidRPr="00744149" w:rsidRDefault="00984B3E" w:rsidP="00984B3E">
      <w:pPr>
        <w:suppressAutoHyphens/>
        <w:autoSpaceDE w:val="0"/>
        <w:spacing w:line="360" w:lineRule="auto"/>
        <w:ind w:left="1440"/>
        <w:rPr>
          <w:bCs/>
        </w:rPr>
      </w:pPr>
    </w:p>
    <w:p w:rsidR="00984B3E" w:rsidRPr="00744149" w:rsidRDefault="00984B3E" w:rsidP="00984B3E">
      <w:pPr>
        <w:numPr>
          <w:ilvl w:val="0"/>
          <w:numId w:val="3"/>
        </w:numPr>
        <w:suppressAutoHyphens/>
        <w:autoSpaceDE w:val="0"/>
        <w:spacing w:line="360" w:lineRule="auto"/>
        <w:jc w:val="both"/>
      </w:pPr>
      <w:r w:rsidRPr="00744149">
        <w:rPr>
          <w:b/>
          <w:bCs/>
        </w:rPr>
        <w:t xml:space="preserve">Bilingválna časť: </w:t>
      </w:r>
    </w:p>
    <w:p w:rsidR="00984B3E" w:rsidRPr="00744149" w:rsidRDefault="00984B3E" w:rsidP="00984B3E">
      <w:pPr>
        <w:suppressAutoHyphens/>
        <w:autoSpaceDE w:val="0"/>
        <w:spacing w:line="360" w:lineRule="auto"/>
        <w:ind w:left="720"/>
        <w:jc w:val="both"/>
      </w:pPr>
      <w:r w:rsidRPr="00744149">
        <w:rPr>
          <w:highlight w:val="green"/>
        </w:rPr>
        <w:t>Percentuálne zastúpenie jednotlivých zložiek v polročných známkach: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2"/>
        <w:gridCol w:w="656"/>
      </w:tblGrid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lastRenderedPageBreak/>
              <w:t>Ohlásené testy z tematických celkov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>
              <w:t>40</w:t>
            </w:r>
            <w:r w:rsidRPr="00744149">
              <w:t>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 xml:space="preserve">Priebežné testy, </w:t>
            </w:r>
            <w:r w:rsidRPr="00744149">
              <w:rPr>
                <w:bCs/>
              </w:rPr>
              <w:t>neohlásené previerky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>10%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>Prezentácie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>
              <w:t>10</w:t>
            </w:r>
            <w:r w:rsidRPr="00744149">
              <w:t>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>Aktivita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>15%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rPr>
                <w:lang w:eastAsia="ar-SA"/>
              </w:rPr>
              <w:t>Ústna odpoveď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uppressAutoHyphens/>
              <w:snapToGrid w:val="0"/>
              <w:spacing w:line="360" w:lineRule="auto"/>
              <w:jc w:val="center"/>
              <w:rPr>
                <w:lang w:val="cs-CZ" w:eastAsia="ar-SA"/>
              </w:rPr>
            </w:pPr>
            <w:r w:rsidRPr="00744149">
              <w:t>10%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pacing w:line="360" w:lineRule="auto"/>
              <w:jc w:val="center"/>
            </w:pPr>
            <w:r w:rsidRPr="00744149">
              <w:t>Eseje na dané témy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pacing w:line="360" w:lineRule="auto"/>
              <w:jc w:val="center"/>
            </w:pPr>
            <w:r>
              <w:t>10</w:t>
            </w:r>
            <w:r w:rsidRPr="00744149">
              <w:t>%</w:t>
            </w:r>
          </w:p>
        </w:tc>
      </w:tr>
      <w:tr w:rsidR="00984B3E" w:rsidRPr="00744149" w:rsidTr="00DF3641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984B3E" w:rsidRPr="00744149" w:rsidRDefault="00984B3E" w:rsidP="00DF3641">
            <w:pPr>
              <w:spacing w:line="360" w:lineRule="auto"/>
              <w:jc w:val="center"/>
            </w:pPr>
            <w:r w:rsidRPr="00744149">
              <w:t>Jazyk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B3E" w:rsidRPr="00744149" w:rsidRDefault="00984B3E" w:rsidP="00DF3641">
            <w:pPr>
              <w:spacing w:line="360" w:lineRule="auto"/>
              <w:jc w:val="center"/>
            </w:pPr>
            <w:r>
              <w:t>5</w:t>
            </w:r>
            <w:r w:rsidRPr="00744149">
              <w:t>%</w:t>
            </w:r>
          </w:p>
        </w:tc>
      </w:tr>
    </w:tbl>
    <w:p w:rsidR="00984B3E" w:rsidRPr="00744149" w:rsidRDefault="00984B3E" w:rsidP="00984B3E">
      <w:pPr>
        <w:spacing w:line="360" w:lineRule="auto"/>
        <w:jc w:val="both"/>
      </w:pPr>
    </w:p>
    <w:p w:rsidR="00984B3E" w:rsidRDefault="00984B3E" w:rsidP="00984B3E">
      <w:pPr>
        <w:autoSpaceDE w:val="0"/>
        <w:spacing w:line="360" w:lineRule="auto"/>
        <w:ind w:left="708"/>
        <w:rPr>
          <w:bCs/>
          <w:i/>
          <w:u w:val="single"/>
        </w:rPr>
      </w:pPr>
    </w:p>
    <w:p w:rsidR="00984B3E" w:rsidRPr="00744149" w:rsidRDefault="00984B3E" w:rsidP="00984B3E">
      <w:pPr>
        <w:autoSpaceDE w:val="0"/>
        <w:spacing w:line="360" w:lineRule="auto"/>
        <w:ind w:left="708"/>
        <w:rPr>
          <w:b/>
          <w:bCs/>
        </w:rPr>
      </w:pPr>
      <w:r w:rsidRPr="00744149">
        <w:rPr>
          <w:bCs/>
          <w:i/>
          <w:u w:val="single"/>
        </w:rPr>
        <w:t xml:space="preserve"> </w:t>
      </w:r>
      <w:r w:rsidRPr="00744149">
        <w:rPr>
          <w:b/>
          <w:bCs/>
          <w:highlight w:val="green"/>
        </w:rPr>
        <w:t>Komentár k jednotlivým hodnoteným zadaniam: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</w:pPr>
      <w:r w:rsidRPr="00744149">
        <w:rPr>
          <w:bCs/>
          <w:i/>
        </w:rPr>
        <w:t>prezentácie</w:t>
      </w:r>
      <w:r w:rsidRPr="00744149">
        <w:rPr>
          <w:bCs/>
        </w:rPr>
        <w:t xml:space="preserve"> – je </w:t>
      </w:r>
      <w:r w:rsidRPr="00744149">
        <w:t>jedno zadanie v priebehu polroka, ktoré žiak vypracováva doma, individuálne</w:t>
      </w:r>
    </w:p>
    <w:p w:rsidR="00984B3E" w:rsidRPr="00744149" w:rsidRDefault="00984B3E" w:rsidP="00984B3E">
      <w:pPr>
        <w:numPr>
          <w:ilvl w:val="2"/>
          <w:numId w:val="3"/>
        </w:numPr>
        <w:suppressAutoHyphens/>
        <w:autoSpaceDE w:val="0"/>
        <w:spacing w:line="360" w:lineRule="auto"/>
      </w:pPr>
      <w:r w:rsidRPr="00744149">
        <w:t>v prípade nedodržania termínu prezentácie v triede sa pri hodnotení odoberie10% za stanovenie každého ďalšieho termínu</w:t>
      </w:r>
      <w:r>
        <w:t xml:space="preserve"> resp. 10% za každý týždeň navyše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  <w:i/>
        </w:rPr>
        <w:t>aktivita na hodine a plnenie domácich úloh</w:t>
      </w:r>
      <w:r w:rsidRPr="00744149">
        <w:rPr>
          <w:bCs/>
        </w:rPr>
        <w:t xml:space="preserve"> - pozornosť na hodine, systematická príprava na hodinu na dané témy, zapájanie sa do diskusie, plnenie domácich a zadaných úloh na vyučovacej hodine</w:t>
      </w:r>
      <w:r>
        <w:rPr>
          <w:bCs/>
        </w:rPr>
        <w:t xml:space="preserve"> (v prípade nedodržania termínu bude úloha hodnotená počtom bodov 0 a za stanovenie ďalšieho termínu resp. za každý oneskorený týždeň - 10% )</w:t>
      </w:r>
    </w:p>
    <w:p w:rsidR="00984B3E" w:rsidRPr="00744149" w:rsidRDefault="00984B3E" w:rsidP="00984B3E">
      <w:pPr>
        <w:numPr>
          <w:ilvl w:val="1"/>
          <w:numId w:val="3"/>
        </w:numPr>
        <w:suppressAutoHyphens/>
        <w:autoSpaceDE w:val="0"/>
        <w:spacing w:line="360" w:lineRule="auto"/>
        <w:rPr>
          <w:bCs/>
        </w:rPr>
      </w:pPr>
      <w:r w:rsidRPr="00744149">
        <w:rPr>
          <w:bCs/>
          <w:i/>
        </w:rPr>
        <w:t>jazyk</w:t>
      </w:r>
      <w:r w:rsidRPr="00744149">
        <w:rPr>
          <w:bCs/>
        </w:rPr>
        <w:t xml:space="preserve"> – osvojovanie a používanie anglickej biblickej terminológie</w:t>
      </w:r>
    </w:p>
    <w:p w:rsidR="00984B3E" w:rsidRPr="00744149" w:rsidRDefault="00984B3E" w:rsidP="00984B3E">
      <w:pPr>
        <w:autoSpaceDE w:val="0"/>
        <w:spacing w:line="360" w:lineRule="auto"/>
      </w:pPr>
      <w:r w:rsidRPr="00744149">
        <w:t xml:space="preserve">, </w:t>
      </w:r>
    </w:p>
    <w:p w:rsidR="00984B3E" w:rsidRPr="00744149" w:rsidRDefault="00984B3E" w:rsidP="00984B3E">
      <w:pPr>
        <w:autoSpaceDE w:val="0"/>
        <w:spacing w:line="360" w:lineRule="auto"/>
        <w:jc w:val="center"/>
        <w:rPr>
          <w:b/>
        </w:rPr>
      </w:pPr>
      <w:r w:rsidRPr="00744149">
        <w:rPr>
          <w:b/>
          <w:color w:val="FF0000"/>
        </w:rPr>
        <w:t>STUPNICA KLASIFIKÁCIE PREDMETU</w:t>
      </w:r>
    </w:p>
    <w:tbl>
      <w:tblPr>
        <w:tblW w:w="6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375"/>
        <w:gridCol w:w="2375"/>
      </w:tblGrid>
      <w:tr w:rsidR="00984B3E" w:rsidRPr="00744149" w:rsidTr="00DF3641">
        <w:trPr>
          <w:trHeight w:val="256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</w:p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Známka</w:t>
            </w:r>
          </w:p>
        </w:tc>
        <w:tc>
          <w:tcPr>
            <w:tcW w:w="2375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</w:p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Prima – kvarta</w:t>
            </w:r>
          </w:p>
        </w:tc>
        <w:tc>
          <w:tcPr>
            <w:tcW w:w="2375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jc w:val="center"/>
              <w:rPr>
                <w:bCs/>
              </w:rPr>
            </w:pPr>
            <w:r w:rsidRPr="00744149">
              <w:rPr>
                <w:bCs/>
              </w:rPr>
              <w:t>4-ročné</w:t>
            </w:r>
          </w:p>
          <w:p w:rsidR="00984B3E" w:rsidRPr="00744149" w:rsidRDefault="00984B3E" w:rsidP="00DF3641">
            <w:pPr>
              <w:autoSpaceDE w:val="0"/>
              <w:snapToGrid w:val="0"/>
              <w:jc w:val="center"/>
              <w:rPr>
                <w:bCs/>
              </w:rPr>
            </w:pPr>
            <w:r w:rsidRPr="00744149">
              <w:rPr>
                <w:bCs/>
              </w:rPr>
              <w:t xml:space="preserve">5-ročné </w:t>
            </w:r>
          </w:p>
          <w:p w:rsidR="00984B3E" w:rsidRPr="00744149" w:rsidRDefault="00984B3E" w:rsidP="00DF3641">
            <w:pPr>
              <w:autoSpaceDE w:val="0"/>
              <w:snapToGrid w:val="0"/>
              <w:jc w:val="center"/>
              <w:rPr>
                <w:bCs/>
              </w:rPr>
            </w:pPr>
            <w:r w:rsidRPr="00744149">
              <w:rPr>
                <w:bCs/>
              </w:rPr>
              <w:t>kvinta – oktáva</w:t>
            </w:r>
          </w:p>
        </w:tc>
      </w:tr>
      <w:tr w:rsidR="00984B3E" w:rsidRPr="00744149" w:rsidTr="00DF3641">
        <w:trPr>
          <w:trHeight w:val="256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1 (výborný)</w:t>
            </w:r>
          </w:p>
        </w:tc>
        <w:tc>
          <w:tcPr>
            <w:tcW w:w="2375" w:type="dxa"/>
            <w:shd w:val="clear" w:color="auto" w:fill="92D05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90 - 100</w:t>
            </w:r>
            <w:r w:rsidRPr="00744149">
              <w:t>%</w:t>
            </w:r>
          </w:p>
        </w:tc>
        <w:tc>
          <w:tcPr>
            <w:tcW w:w="2375" w:type="dxa"/>
            <w:shd w:val="clear" w:color="auto" w:fill="00B0F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90 - 100</w:t>
            </w:r>
            <w:r w:rsidRPr="00744149">
              <w:t>%</w:t>
            </w:r>
          </w:p>
        </w:tc>
      </w:tr>
      <w:tr w:rsidR="00984B3E" w:rsidRPr="00744149" w:rsidTr="00DF3641">
        <w:trPr>
          <w:trHeight w:val="256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2 (chválitebný)</w:t>
            </w:r>
          </w:p>
        </w:tc>
        <w:tc>
          <w:tcPr>
            <w:tcW w:w="2375" w:type="dxa"/>
            <w:shd w:val="clear" w:color="auto" w:fill="92D05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75 - 89</w:t>
            </w:r>
            <w:r w:rsidRPr="00744149">
              <w:t>%</w:t>
            </w:r>
          </w:p>
        </w:tc>
        <w:tc>
          <w:tcPr>
            <w:tcW w:w="2375" w:type="dxa"/>
            <w:shd w:val="clear" w:color="auto" w:fill="00B0F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75 - 89</w:t>
            </w:r>
            <w:r w:rsidRPr="00744149">
              <w:t>%</w:t>
            </w:r>
          </w:p>
        </w:tc>
      </w:tr>
      <w:tr w:rsidR="00984B3E" w:rsidRPr="00744149" w:rsidTr="00DF3641">
        <w:trPr>
          <w:trHeight w:val="256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3 (dobrý)</w:t>
            </w:r>
          </w:p>
        </w:tc>
        <w:tc>
          <w:tcPr>
            <w:tcW w:w="2375" w:type="dxa"/>
            <w:shd w:val="clear" w:color="auto" w:fill="92D05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45 - 74</w:t>
            </w:r>
            <w:r w:rsidRPr="00744149">
              <w:t>%</w:t>
            </w:r>
          </w:p>
        </w:tc>
        <w:tc>
          <w:tcPr>
            <w:tcW w:w="2375" w:type="dxa"/>
            <w:shd w:val="clear" w:color="auto" w:fill="00B0F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50 - 74</w:t>
            </w:r>
            <w:r w:rsidRPr="00744149">
              <w:t>%</w:t>
            </w:r>
          </w:p>
        </w:tc>
      </w:tr>
      <w:tr w:rsidR="00984B3E" w:rsidRPr="00744149" w:rsidTr="00DF3641">
        <w:trPr>
          <w:trHeight w:val="270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4 (dostatočný)</w:t>
            </w:r>
          </w:p>
        </w:tc>
        <w:tc>
          <w:tcPr>
            <w:tcW w:w="2375" w:type="dxa"/>
            <w:shd w:val="clear" w:color="auto" w:fill="92D05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25 - 44</w:t>
            </w:r>
            <w:r w:rsidRPr="00744149">
              <w:t>%</w:t>
            </w:r>
          </w:p>
        </w:tc>
        <w:tc>
          <w:tcPr>
            <w:tcW w:w="2375" w:type="dxa"/>
            <w:shd w:val="clear" w:color="auto" w:fill="00B0F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30 - 49</w:t>
            </w:r>
            <w:r w:rsidRPr="00744149">
              <w:t>%</w:t>
            </w:r>
          </w:p>
        </w:tc>
      </w:tr>
      <w:tr w:rsidR="00984B3E" w:rsidRPr="00744149" w:rsidTr="00DF3641">
        <w:trPr>
          <w:trHeight w:val="256"/>
          <w:jc w:val="center"/>
        </w:trPr>
        <w:tc>
          <w:tcPr>
            <w:tcW w:w="1978" w:type="dxa"/>
            <w:shd w:val="clear" w:color="auto" w:fill="FFFF0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744149">
              <w:rPr>
                <w:bCs/>
              </w:rPr>
              <w:t>5 (nedostatočný)</w:t>
            </w:r>
          </w:p>
        </w:tc>
        <w:tc>
          <w:tcPr>
            <w:tcW w:w="2375" w:type="dxa"/>
            <w:shd w:val="clear" w:color="auto" w:fill="92D05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0 - 24</w:t>
            </w:r>
            <w:r w:rsidRPr="00744149">
              <w:t>%</w:t>
            </w:r>
          </w:p>
        </w:tc>
        <w:tc>
          <w:tcPr>
            <w:tcW w:w="2375" w:type="dxa"/>
            <w:shd w:val="clear" w:color="auto" w:fill="00B0F0"/>
          </w:tcPr>
          <w:p w:rsidR="00984B3E" w:rsidRPr="00744149" w:rsidRDefault="00984B3E" w:rsidP="00DF3641">
            <w:pPr>
              <w:autoSpaceDE w:val="0"/>
              <w:snapToGrid w:val="0"/>
              <w:spacing w:line="360" w:lineRule="auto"/>
              <w:jc w:val="center"/>
            </w:pPr>
            <w:r w:rsidRPr="00744149">
              <w:rPr>
                <w:bCs/>
              </w:rPr>
              <w:t>0 - 29</w:t>
            </w:r>
            <w:r w:rsidRPr="00744149">
              <w:t>%</w:t>
            </w:r>
          </w:p>
        </w:tc>
      </w:tr>
    </w:tbl>
    <w:p w:rsidR="00984B3E" w:rsidRPr="00744149" w:rsidRDefault="00984B3E" w:rsidP="00984B3E">
      <w:pPr>
        <w:autoSpaceDE w:val="0"/>
        <w:spacing w:line="360" w:lineRule="auto"/>
        <w:rPr>
          <w:b/>
          <w:bCs/>
        </w:rPr>
      </w:pPr>
    </w:p>
    <w:p w:rsidR="00984B3E" w:rsidRDefault="00984B3E" w:rsidP="00984B3E">
      <w:pPr>
        <w:autoSpaceDE w:val="0"/>
        <w:spacing w:line="360" w:lineRule="auto"/>
        <w:ind w:firstLine="360"/>
        <w:rPr>
          <w:b/>
          <w:bCs/>
          <w:highlight w:val="green"/>
        </w:rPr>
      </w:pPr>
    </w:p>
    <w:p w:rsidR="00984B3E" w:rsidRDefault="00984B3E" w:rsidP="00984B3E">
      <w:pPr>
        <w:autoSpaceDE w:val="0"/>
        <w:spacing w:line="360" w:lineRule="auto"/>
        <w:ind w:firstLine="360"/>
        <w:rPr>
          <w:b/>
          <w:bCs/>
          <w:highlight w:val="green"/>
        </w:rPr>
      </w:pPr>
    </w:p>
    <w:p w:rsidR="00984B3E" w:rsidRDefault="00984B3E" w:rsidP="00984B3E">
      <w:pPr>
        <w:autoSpaceDE w:val="0"/>
        <w:spacing w:line="360" w:lineRule="auto"/>
        <w:ind w:firstLine="360"/>
        <w:rPr>
          <w:b/>
          <w:bCs/>
          <w:highlight w:val="green"/>
        </w:rPr>
      </w:pPr>
    </w:p>
    <w:p w:rsidR="00984B3E" w:rsidRDefault="00984B3E" w:rsidP="00984B3E">
      <w:pPr>
        <w:autoSpaceDE w:val="0"/>
        <w:spacing w:line="360" w:lineRule="auto"/>
        <w:ind w:firstLine="360"/>
        <w:rPr>
          <w:b/>
          <w:bCs/>
          <w:highlight w:val="green"/>
        </w:rPr>
      </w:pPr>
    </w:p>
    <w:p w:rsidR="00984B3E" w:rsidRPr="00744149" w:rsidRDefault="00984B3E" w:rsidP="00984B3E">
      <w:pPr>
        <w:autoSpaceDE w:val="0"/>
        <w:spacing w:line="360" w:lineRule="auto"/>
        <w:ind w:firstLine="360"/>
        <w:rPr>
          <w:b/>
          <w:bCs/>
        </w:rPr>
      </w:pPr>
      <w:r w:rsidRPr="00744149">
        <w:rPr>
          <w:b/>
          <w:bCs/>
          <w:highlight w:val="green"/>
        </w:rPr>
        <w:t>Podmienky pre klasifikáciu žiaka:</w:t>
      </w:r>
    </w:p>
    <w:p w:rsidR="00984B3E" w:rsidRPr="00744149" w:rsidRDefault="00984B3E" w:rsidP="00984B3E">
      <w:pPr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744149">
        <w:t>všetky ohlásené testy z tematických celkov sú pre žiaka povinné – náhradný termín pre všetky neabsolvované testy bude raz za pol roka</w:t>
      </w:r>
      <w:r>
        <w:t>,</w:t>
      </w:r>
    </w:p>
    <w:p w:rsidR="00984B3E" w:rsidRPr="00744149" w:rsidRDefault="00984B3E" w:rsidP="00984B3E">
      <w:pPr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744149">
        <w:t>v prípade nedodržania akademických zásad, podvádzania a používania nedovolených pomôcok počas testovania je práca žiaka klasifikovaná stupňom nedostatočný a 0%</w:t>
      </w:r>
      <w:r>
        <w:t xml:space="preserve"> bez možnosti opravy so zápisom do EŽK</w:t>
      </w:r>
    </w:p>
    <w:p w:rsidR="00984B3E" w:rsidRPr="00744149" w:rsidRDefault="00984B3E" w:rsidP="00984B3E">
      <w:pPr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744149">
        <w:t>žiak môže z predmetu vymeškať 30% hodín v klasifikačnom období (polrok), pri väčšom počte vymeškaných hodín môže vyučujúci navrhnúť na zasadnutí</w:t>
      </w:r>
      <w:r>
        <w:t xml:space="preserve"> </w:t>
      </w:r>
      <w:r w:rsidRPr="00744149">
        <w:t>Pedagogickej rady komisionálne preskúšanie z predmetu v danom klasifikačnom období.</w:t>
      </w:r>
    </w:p>
    <w:p w:rsidR="00984B3E" w:rsidRDefault="00984B3E" w:rsidP="00984B3E">
      <w:pPr>
        <w:autoSpaceDE w:val="0"/>
        <w:spacing w:line="360" w:lineRule="auto"/>
        <w:rPr>
          <w:b/>
          <w:bCs/>
          <w:color w:val="FF0000"/>
        </w:rPr>
      </w:pPr>
    </w:p>
    <w:p w:rsidR="001A4C13" w:rsidRDefault="00165F78"/>
    <w:sectPr w:rsidR="001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F880F1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4" w15:restartNumberingAfterBreak="0">
    <w:nsid w:val="4B7F09C0"/>
    <w:multiLevelType w:val="hybridMultilevel"/>
    <w:tmpl w:val="2B0A979C"/>
    <w:lvl w:ilvl="0" w:tplc="30F6C83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A"/>
    <w:rsid w:val="00165F78"/>
    <w:rsid w:val="001934C1"/>
    <w:rsid w:val="004C0C9A"/>
    <w:rsid w:val="00984B3E"/>
    <w:rsid w:val="00C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B8AE"/>
  <w15:chartTrackingRefBased/>
  <w15:docId w15:val="{F140A504-08E3-4899-961F-4873502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2022-08-25T13:07:00Z</dcterms:created>
  <dcterms:modified xsi:type="dcterms:W3CDTF">2022-08-26T11:47:00Z</dcterms:modified>
</cp:coreProperties>
</file>